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 xml:space="preserve">CAUSE NO. </w:t>
      </w:r>
    </w:p>
    <w:p>
      <w:r>
        <w:t>IN THE DISTRICT COURT COURT OF TRAVIS COUNTY, TEXAS</w:t>
      </w:r>
    </w:p>
    <w:p>
      <w:pPr>
        <w:pStyle w:val="Heading2"/>
      </w:pPr>
      <w:r>
        <w:t>EXHIBIT B: VERIFIED EVIDENCE CHRONOLOGY</w:t>
      </w:r>
    </w:p>
    <w:p>
      <w:r>
        <w:t>Summary of Violations, Interferences, and Statutory Non-Compliance: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Category</w:t>
            </w:r>
          </w:p>
        </w:tc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Exhibit</w:t>
            </w:r>
          </w:p>
        </w:tc>
      </w:tr>
      <w:tr>
        <w:tc>
          <w:tcPr>
            <w:tcW w:type="dxa" w:w="2160"/>
          </w:tcPr>
          <w:p>
            <w:r>
              <w:t>2024-02-14</w:t>
            </w:r>
          </w:p>
        </w:tc>
        <w:tc>
          <w:tcPr>
            <w:tcW w:type="dxa" w:w="2160"/>
          </w:tcPr>
          <w:p>
            <w:r>
              <w:t>Custody Interference</w:t>
            </w:r>
          </w:p>
        </w:tc>
        <w:tc>
          <w:tcPr>
            <w:tcW w:type="dxa" w:w="2160"/>
          </w:tcPr>
          <w:p>
            <w:r>
              <w:t>Denial of court-ordered holiday possession under Decree</w:t>
            </w:r>
          </w:p>
        </w:tc>
        <w:tc>
          <w:tcPr>
            <w:tcW w:type="dxa" w:w="2160"/>
          </w:tcPr>
          <w:p>
            <w:r>
              <w:t>Exhibit B-1</w:t>
            </w:r>
          </w:p>
        </w:tc>
      </w:tr>
      <w:tr>
        <w:tc>
          <w:tcPr>
            <w:tcW w:type="dxa" w:w="2160"/>
          </w:tcPr>
          <w:p>
            <w:r>
              <w:t>2024-04-05</w:t>
            </w:r>
          </w:p>
        </w:tc>
        <w:tc>
          <w:tcPr>
            <w:tcW w:type="dxa" w:w="2160"/>
          </w:tcPr>
          <w:p>
            <w:r>
              <w:t>Communication Failure</w:t>
            </w:r>
          </w:p>
        </w:tc>
        <w:tc>
          <w:tcPr>
            <w:tcW w:type="dxa" w:w="2160"/>
          </w:tcPr>
          <w:p>
            <w:r>
              <w:t>Refusal to communicate via AppClose; unilateral medical decision</w:t>
            </w:r>
          </w:p>
        </w:tc>
        <w:tc>
          <w:tcPr>
            <w:tcW w:type="dxa" w:w="2160"/>
          </w:tcPr>
          <w:p>
            <w:r>
              <w:t>Exhibit B-2</w:t>
            </w:r>
          </w:p>
        </w:tc>
      </w:tr>
      <w:tr>
        <w:tc>
          <w:tcPr>
            <w:tcW w:type="dxa" w:w="2160"/>
          </w:tcPr>
          <w:p>
            <w:r>
              <w:t>2024-06-18</w:t>
            </w:r>
          </w:p>
        </w:tc>
        <w:tc>
          <w:tcPr>
            <w:tcW w:type="dxa" w:w="2160"/>
          </w:tcPr>
          <w:p>
            <w:r>
              <w:t>Violation of Injunction</w:t>
            </w:r>
          </w:p>
        </w:tc>
        <w:tc>
          <w:tcPr>
            <w:tcW w:type="dxa" w:w="2160"/>
          </w:tcPr>
          <w:p>
            <w:r>
              <w:t>Withholding minor child during summer possession period</w:t>
            </w:r>
          </w:p>
        </w:tc>
        <w:tc>
          <w:tcPr>
            <w:tcW w:type="dxa" w:w="2160"/>
          </w:tcPr>
          <w:p>
            <w:r>
              <w:t>Exhibit B-3</w:t>
            </w:r>
          </w:p>
        </w:tc>
      </w:tr>
      <w:tr>
        <w:tc>
          <w:tcPr>
            <w:tcW w:type="dxa" w:w="2160"/>
          </w:tcPr>
          <w:p>
            <w:r>
              <w:t>2024-08-20</w:t>
            </w:r>
          </w:p>
        </w:tc>
        <w:tc>
          <w:tcPr>
            <w:tcW w:type="dxa" w:w="2160"/>
          </w:tcPr>
          <w:p>
            <w:r>
              <w:t>Financial Interference</w:t>
            </w:r>
          </w:p>
        </w:tc>
        <w:tc>
          <w:tcPr>
            <w:tcW w:type="dxa" w:w="2160"/>
          </w:tcPr>
          <w:p>
            <w:r>
              <w:t>Improper garnishment notice served without statutory disclosure</w:t>
            </w:r>
          </w:p>
        </w:tc>
        <w:tc>
          <w:tcPr>
            <w:tcW w:type="dxa" w:w="2160"/>
          </w:tcPr>
          <w:p>
            <w:r>
              <w:t>Exhibit B-4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