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 xml:space="preserve">CAUSE NO. </w:t>
      </w:r>
    </w:p>
    <w:p>
      <w:r>
        <w:t>IN THE DISTRICT COURT OF TRAVIS COUNTY, TEXAS</w:t>
        <w:br/>
        <w:t>IN THE DISTRICT COURT</w:t>
        <w:br/>
      </w:r>
    </w:p>
    <w:p>
      <w:pPr>
        <w:pStyle w:val="Heading1"/>
      </w:pPr>
      <w:r>
        <w:t>GENERATE TRCP664A DOCX</w:t>
      </w:r>
    </w:p>
    <w:p>
      <w:r>
        <w:t>TEXAS RULES OF CIVIL PROCEDURE COMPLIANT PLEADING</w:t>
      </w:r>
    </w:p>
    <w:p>
      <w:r>
        <w:t>Petitioner  appears pro se and moves for relief under the Texas Family Code, Texas Rules of Civil Procedure Rule 664a, and Texas Property Code § 42.0021.</w:t>
      </w:r>
    </w:p>
    <w:p>
      <w:r>
        <w:br/>
        <w:t>Respectfully submitted,</w:t>
        <w:br/>
      </w:r>
      <w:r>
        <w:rPr>
          <w:b/>
        </w:rPr>
        <w:t xml:space="preserve">/s/ </w:t>
        <w:br/>
      </w:r>
      <w:r>
        <w:t>Pro Se Litigant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